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2" w:rsidRDefault="008C3692" w:rsidP="003B1A85">
      <w:pPr>
        <w:jc w:val="right"/>
        <w:rPr>
          <w:rFonts w:ascii="Century Gothic" w:eastAsia="Times New Roman" w:hAnsi="Century Gothic"/>
          <w:sz w:val="20"/>
          <w:szCs w:val="20"/>
        </w:rPr>
      </w:pPr>
    </w:p>
    <w:p w:rsidR="008C3692" w:rsidRDefault="008C3692" w:rsidP="008C3692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</w:p>
    <w:p w:rsidR="008C3692" w:rsidRDefault="008C3692" w:rsidP="008C3692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ЦЕНТРУ ПОДДЕРЖКИ ЭКСПОРТА</w:t>
      </w:r>
    </w:p>
    <w:p w:rsidR="008C3692" w:rsidRDefault="008C3692" w:rsidP="008C3692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8C3692" w:rsidRPr="00286F9C" w:rsidTr="008C3692">
        <w:tc>
          <w:tcPr>
            <w:tcW w:w="2552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 w:rsidRPr="00286F9C">
              <w:t>Заказчик</w:t>
            </w:r>
          </w:p>
        </w:tc>
        <w:tc>
          <w:tcPr>
            <w:tcW w:w="7655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 w:rsidRPr="00286F9C">
              <w:t>Астраханский фонд поддержки малого и среднего предпринимательства (микрокредитная компания).</w:t>
            </w:r>
          </w:p>
        </w:tc>
      </w:tr>
      <w:tr w:rsidR="008C3692" w:rsidRPr="00286F9C" w:rsidTr="008C3692">
        <w:tc>
          <w:tcPr>
            <w:tcW w:w="2552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 w:rsidRPr="00286F9C">
              <w:t>Получатели услуги</w:t>
            </w:r>
          </w:p>
        </w:tc>
        <w:tc>
          <w:tcPr>
            <w:tcW w:w="7655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>
              <w:t>Центр поддержки экспорта</w:t>
            </w:r>
          </w:p>
        </w:tc>
      </w:tr>
      <w:tr w:rsidR="008C3692" w:rsidRPr="00286F9C" w:rsidTr="008C3692">
        <w:tc>
          <w:tcPr>
            <w:tcW w:w="2552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 w:rsidRPr="00286F9C">
              <w:t xml:space="preserve">Наименование услуги </w:t>
            </w:r>
          </w:p>
        </w:tc>
        <w:tc>
          <w:tcPr>
            <w:tcW w:w="7655" w:type="dxa"/>
          </w:tcPr>
          <w:p w:rsidR="008C3692" w:rsidRPr="00286F9C" w:rsidRDefault="008C3692" w:rsidP="008C3692">
            <w:pPr>
              <w:spacing w:before="60" w:after="60"/>
              <w:ind w:left="14" w:right="-103" w:hanging="14"/>
            </w:pPr>
            <w:r>
              <w:t>Предоставление доступа к информационно-аналитическому порталу и базе данных по тематике внешнеэкономической деятельности (методическим, информационным, статистическим, маркетинговым, правовым и другим материалам в области внешнеторговой деятельности и таможенного дела) через сеть Интернет для анализа внешней торговли Астраханской области и Российской Федерации</w:t>
            </w:r>
          </w:p>
        </w:tc>
      </w:tr>
      <w:tr w:rsidR="008C3692" w:rsidRPr="00286F9C" w:rsidTr="008C3692">
        <w:trPr>
          <w:trHeight w:val="1494"/>
        </w:trPr>
        <w:tc>
          <w:tcPr>
            <w:tcW w:w="2552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 w:rsidRPr="00286F9C">
              <w:t>Описание услуги</w:t>
            </w:r>
          </w:p>
        </w:tc>
        <w:tc>
          <w:tcPr>
            <w:tcW w:w="7655" w:type="dxa"/>
          </w:tcPr>
          <w:p w:rsidR="004E043F" w:rsidRDefault="004E043F" w:rsidP="004E043F">
            <w:pPr>
              <w:spacing w:before="60" w:after="60"/>
              <w:ind w:left="14" w:right="-103" w:hanging="14"/>
            </w:pPr>
            <w:r>
              <w:t>-  Возможность доступа к атласу внешней торговли Российской Федерации (на основании статистики ФТС, на уровне от 2 до 6 знаков ТН ВЭД).</w:t>
            </w:r>
          </w:p>
          <w:p w:rsidR="004E043F" w:rsidRDefault="004E043F" w:rsidP="004E043F">
            <w:pPr>
              <w:spacing w:before="60" w:after="60"/>
              <w:ind w:left="14" w:right="30" w:hanging="14"/>
            </w:pPr>
            <w:r>
              <w:t>-  Возможность доступа к инструментам для анализа показателей (динамика, сезонность и т.д.) внешней торговли Российской Федерации со всеми странами (на основании статистики ФТС), а также общего анализа внешней торговли иностранных государств (на основании статистики UN Comtrade), с возможностью выбора детализации от 2 до 6 знаков ТН ВЭД.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- Возможность доступа к инструментам для анализа показателей внешней торговли Астраханской области, включающие в себя: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* географию экспорта региона;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* данные об иностранных получателях грузов (кроме стран ТС*);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* данные по профилю кода ТН ВЭД;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* данные по профилю страны;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* данные по профилю товарной группы;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* данные по профилю экспортера (кроме экспорта в страны ТС*);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- Возможность быстрой выгрузки аналитических данных в форматы Microsoft Office Excel, PDF.</w:t>
            </w:r>
          </w:p>
          <w:p w:rsidR="004E043F" w:rsidRDefault="004E043F" w:rsidP="004E043F">
            <w:pPr>
              <w:spacing w:before="60" w:after="60"/>
              <w:ind w:left="14" w:right="-103" w:hanging="14"/>
            </w:pPr>
            <w:r>
              <w:t>- Возможность создания аналитического контента под запрос пользователя, его накопление и возможность обмена между региональными структурами поддержки экспорта.</w:t>
            </w:r>
          </w:p>
          <w:p w:rsidR="008C3692" w:rsidRPr="00286F9C" w:rsidRDefault="004E043F" w:rsidP="004E043F">
            <w:pPr>
              <w:spacing w:before="60" w:after="60"/>
              <w:ind w:left="14" w:right="-103" w:hanging="14"/>
              <w:rPr>
                <w:b/>
              </w:rPr>
            </w:pPr>
            <w:r>
              <w:t>- Возможность размещения и обновления аналитического контента на информационных ресурсах региональных структур поддержки экспорта</w:t>
            </w:r>
          </w:p>
        </w:tc>
      </w:tr>
      <w:tr w:rsidR="008C3692" w:rsidRPr="00286F9C" w:rsidTr="008C3692">
        <w:tc>
          <w:tcPr>
            <w:tcW w:w="2552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bookmarkStart w:id="0" w:name="_GoBack"/>
            <w:bookmarkEnd w:id="0"/>
            <w:r w:rsidRPr="00286F9C">
              <w:t>Срок оказания услуги</w:t>
            </w:r>
          </w:p>
        </w:tc>
        <w:tc>
          <w:tcPr>
            <w:tcW w:w="7655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>
              <w:t>В течение 2022 года</w:t>
            </w:r>
          </w:p>
        </w:tc>
      </w:tr>
      <w:tr w:rsidR="008C3692" w:rsidRPr="00286F9C" w:rsidTr="008C3692">
        <w:tc>
          <w:tcPr>
            <w:tcW w:w="2552" w:type="dxa"/>
          </w:tcPr>
          <w:p w:rsidR="008C3692" w:rsidRPr="00286F9C" w:rsidRDefault="008C3692" w:rsidP="009167C9">
            <w:pPr>
              <w:spacing w:before="60" w:after="60"/>
              <w:ind w:left="14" w:right="71" w:hanging="14"/>
            </w:pPr>
            <w:r w:rsidRPr="00286F9C">
              <w:t>Стоимость оказания услуг</w:t>
            </w:r>
          </w:p>
        </w:tc>
        <w:tc>
          <w:tcPr>
            <w:tcW w:w="7655" w:type="dxa"/>
          </w:tcPr>
          <w:p w:rsidR="008C3692" w:rsidRPr="00286F9C" w:rsidRDefault="00773DC3" w:rsidP="00384FA2">
            <w:pPr>
              <w:spacing w:before="60" w:after="60"/>
              <w:ind w:left="14" w:right="71" w:hanging="14"/>
            </w:pPr>
            <w:r>
              <w:t>Не более 150 000 (сто пятьдесят тысяч) рублей</w:t>
            </w:r>
          </w:p>
        </w:tc>
      </w:tr>
    </w:tbl>
    <w:p w:rsidR="008C3692" w:rsidRDefault="008C3692" w:rsidP="003B1A85">
      <w:pPr>
        <w:jc w:val="right"/>
        <w:rPr>
          <w:rFonts w:ascii="Century Gothic" w:eastAsia="Times New Roman" w:hAnsi="Century Gothic"/>
          <w:sz w:val="20"/>
          <w:szCs w:val="20"/>
        </w:rPr>
      </w:pPr>
    </w:p>
    <w:p w:rsidR="008C3692" w:rsidRDefault="008C3692" w:rsidP="003B1A85">
      <w:pPr>
        <w:jc w:val="right"/>
        <w:rPr>
          <w:rFonts w:ascii="Century Gothic" w:eastAsia="Times New Roman" w:hAnsi="Century Gothic"/>
          <w:sz w:val="20"/>
          <w:szCs w:val="20"/>
        </w:rPr>
      </w:pPr>
    </w:p>
    <w:sectPr w:rsidR="008C3692" w:rsidSect="00384FA2">
      <w:pgSz w:w="11906" w:h="16838"/>
      <w:pgMar w:top="568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2F" w:rsidRDefault="007E6C2F" w:rsidP="002C52EE">
      <w:r>
        <w:separator/>
      </w:r>
    </w:p>
  </w:endnote>
  <w:endnote w:type="continuationSeparator" w:id="0">
    <w:p w:rsidR="007E6C2F" w:rsidRDefault="007E6C2F" w:rsidP="002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2F" w:rsidRDefault="007E6C2F" w:rsidP="002C52EE">
      <w:r>
        <w:separator/>
      </w:r>
    </w:p>
  </w:footnote>
  <w:footnote w:type="continuationSeparator" w:id="0">
    <w:p w:rsidR="007E6C2F" w:rsidRDefault="007E6C2F" w:rsidP="002C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9"/>
    <w:multiLevelType w:val="hybridMultilevel"/>
    <w:tmpl w:val="E750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703"/>
    <w:multiLevelType w:val="hybridMultilevel"/>
    <w:tmpl w:val="7752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F14AE3"/>
    <w:multiLevelType w:val="hybridMultilevel"/>
    <w:tmpl w:val="5CE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40A2"/>
    <w:multiLevelType w:val="hybridMultilevel"/>
    <w:tmpl w:val="7EA85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672322"/>
    <w:multiLevelType w:val="hybridMultilevel"/>
    <w:tmpl w:val="3ADED876"/>
    <w:lvl w:ilvl="0" w:tplc="089A3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4DAFDDC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16"/>
    <w:rsid w:val="00031F3D"/>
    <w:rsid w:val="000657E7"/>
    <w:rsid w:val="00077E4A"/>
    <w:rsid w:val="00090348"/>
    <w:rsid w:val="000B7D6D"/>
    <w:rsid w:val="000C1D35"/>
    <w:rsid w:val="000C3F0B"/>
    <w:rsid w:val="000D1A26"/>
    <w:rsid w:val="001406F5"/>
    <w:rsid w:val="001628D4"/>
    <w:rsid w:val="001943ED"/>
    <w:rsid w:val="0019774C"/>
    <w:rsid w:val="001B58C1"/>
    <w:rsid w:val="001E7032"/>
    <w:rsid w:val="00224CC6"/>
    <w:rsid w:val="002366DE"/>
    <w:rsid w:val="002A2A02"/>
    <w:rsid w:val="002A708C"/>
    <w:rsid w:val="002C52EE"/>
    <w:rsid w:val="002C5745"/>
    <w:rsid w:val="003011FF"/>
    <w:rsid w:val="0030312A"/>
    <w:rsid w:val="003739E4"/>
    <w:rsid w:val="00375DFF"/>
    <w:rsid w:val="00380B9A"/>
    <w:rsid w:val="00384FA2"/>
    <w:rsid w:val="0039399E"/>
    <w:rsid w:val="003A2D12"/>
    <w:rsid w:val="003A56A6"/>
    <w:rsid w:val="003B168B"/>
    <w:rsid w:val="003B1A85"/>
    <w:rsid w:val="003D4B3B"/>
    <w:rsid w:val="003F41EA"/>
    <w:rsid w:val="004278D4"/>
    <w:rsid w:val="004807DE"/>
    <w:rsid w:val="004C1ED6"/>
    <w:rsid w:val="004C2BB4"/>
    <w:rsid w:val="004D04B9"/>
    <w:rsid w:val="004E043F"/>
    <w:rsid w:val="00550C7E"/>
    <w:rsid w:val="005608E6"/>
    <w:rsid w:val="00566233"/>
    <w:rsid w:val="005774FA"/>
    <w:rsid w:val="00585929"/>
    <w:rsid w:val="005A3BAA"/>
    <w:rsid w:val="005E71CA"/>
    <w:rsid w:val="005F74F5"/>
    <w:rsid w:val="00604198"/>
    <w:rsid w:val="006229A1"/>
    <w:rsid w:val="006566E9"/>
    <w:rsid w:val="006702AC"/>
    <w:rsid w:val="0067052F"/>
    <w:rsid w:val="006B76AC"/>
    <w:rsid w:val="006D7AC4"/>
    <w:rsid w:val="0070237C"/>
    <w:rsid w:val="00740D7A"/>
    <w:rsid w:val="007452DC"/>
    <w:rsid w:val="00773DC3"/>
    <w:rsid w:val="007800F6"/>
    <w:rsid w:val="0078454A"/>
    <w:rsid w:val="007914D9"/>
    <w:rsid w:val="007A2570"/>
    <w:rsid w:val="007A3810"/>
    <w:rsid w:val="007B5BE1"/>
    <w:rsid w:val="007E0AAE"/>
    <w:rsid w:val="007E27C5"/>
    <w:rsid w:val="007E5DC8"/>
    <w:rsid w:val="007E6C2F"/>
    <w:rsid w:val="008047E2"/>
    <w:rsid w:val="008076FC"/>
    <w:rsid w:val="008165DA"/>
    <w:rsid w:val="008214ED"/>
    <w:rsid w:val="00871BCC"/>
    <w:rsid w:val="008862E2"/>
    <w:rsid w:val="008B695B"/>
    <w:rsid w:val="008C1E97"/>
    <w:rsid w:val="008C3692"/>
    <w:rsid w:val="008C5495"/>
    <w:rsid w:val="00925ADB"/>
    <w:rsid w:val="00954994"/>
    <w:rsid w:val="00972E44"/>
    <w:rsid w:val="009750AD"/>
    <w:rsid w:val="00993616"/>
    <w:rsid w:val="009D2125"/>
    <w:rsid w:val="00A0331E"/>
    <w:rsid w:val="00A035F0"/>
    <w:rsid w:val="00A04478"/>
    <w:rsid w:val="00A412EE"/>
    <w:rsid w:val="00A67153"/>
    <w:rsid w:val="00A74FAF"/>
    <w:rsid w:val="00A959C9"/>
    <w:rsid w:val="00AE5552"/>
    <w:rsid w:val="00B024A0"/>
    <w:rsid w:val="00B80DF5"/>
    <w:rsid w:val="00BA75F7"/>
    <w:rsid w:val="00BC67B1"/>
    <w:rsid w:val="00BE7CB2"/>
    <w:rsid w:val="00C22B6B"/>
    <w:rsid w:val="00C266EA"/>
    <w:rsid w:val="00C3482D"/>
    <w:rsid w:val="00C61ECD"/>
    <w:rsid w:val="00C96FD4"/>
    <w:rsid w:val="00CC3B44"/>
    <w:rsid w:val="00CC610F"/>
    <w:rsid w:val="00CF2958"/>
    <w:rsid w:val="00D223D4"/>
    <w:rsid w:val="00D2325A"/>
    <w:rsid w:val="00D67B71"/>
    <w:rsid w:val="00DA4438"/>
    <w:rsid w:val="00E04463"/>
    <w:rsid w:val="00E302D8"/>
    <w:rsid w:val="00E40201"/>
    <w:rsid w:val="00EA0532"/>
    <w:rsid w:val="00EC6AF5"/>
    <w:rsid w:val="00F14709"/>
    <w:rsid w:val="00F25317"/>
    <w:rsid w:val="00F40020"/>
    <w:rsid w:val="00FA7A3C"/>
    <w:rsid w:val="00FD23C4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D9BCC-1EF3-459B-920A-77105E7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6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3616"/>
    <w:rPr>
      <w:b/>
      <w:bCs/>
    </w:rPr>
  </w:style>
  <w:style w:type="paragraph" w:customStyle="1" w:styleId="p1">
    <w:name w:val="p1"/>
    <w:basedOn w:val="a"/>
    <w:rsid w:val="0099361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229A1"/>
    <w:rPr>
      <w:color w:val="0000FF" w:themeColor="hyperlink"/>
      <w:u w:val="single"/>
    </w:rPr>
  </w:style>
  <w:style w:type="paragraph" w:styleId="a6">
    <w:name w:val="No Spacing"/>
    <w:uiPriority w:val="1"/>
    <w:qFormat/>
    <w:rsid w:val="000C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normal">
    <w:name w:val="ph_normal"/>
    <w:basedOn w:val="a"/>
    <w:link w:val="phnormal0"/>
    <w:rsid w:val="000C3F0B"/>
    <w:pPr>
      <w:spacing w:line="360" w:lineRule="auto"/>
      <w:ind w:right="170" w:firstLine="720"/>
      <w:jc w:val="both"/>
    </w:pPr>
    <w:rPr>
      <w:rFonts w:eastAsia="Times New Roman"/>
      <w:szCs w:val="20"/>
    </w:rPr>
  </w:style>
  <w:style w:type="character" w:customStyle="1" w:styleId="phnormal0">
    <w:name w:val="ph_normal Знак Знак"/>
    <w:link w:val="phnormal"/>
    <w:rsid w:val="000C3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C3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566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52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2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52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2E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266EA"/>
  </w:style>
  <w:style w:type="table" w:styleId="ac">
    <w:name w:val="Table Grid"/>
    <w:basedOn w:val="a1"/>
    <w:uiPriority w:val="39"/>
    <w:rsid w:val="008C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4F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4F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Голубкина</cp:lastModifiedBy>
  <cp:revision>4</cp:revision>
  <cp:lastPrinted>2021-12-09T12:14:00Z</cp:lastPrinted>
  <dcterms:created xsi:type="dcterms:W3CDTF">2020-08-25T06:38:00Z</dcterms:created>
  <dcterms:modified xsi:type="dcterms:W3CDTF">2021-12-09T12:18:00Z</dcterms:modified>
</cp:coreProperties>
</file>