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D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</w:t>
      </w:r>
    </w:p>
    <w:p w:rsidR="00AE7EEB" w:rsidRDefault="0007014D" w:rsidP="00303F63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на проведение </w:t>
      </w:r>
      <w:r w:rsidR="00AE7EEB">
        <w:rPr>
          <w:b/>
          <w:szCs w:val="24"/>
        </w:rPr>
        <w:t>круглого стола</w:t>
      </w:r>
      <w:r w:rsidRPr="003A6D5F">
        <w:rPr>
          <w:b/>
          <w:szCs w:val="24"/>
        </w:rPr>
        <w:t xml:space="preserve"> на тему: </w:t>
      </w:r>
      <w:r w:rsidRPr="0007014D">
        <w:rPr>
          <w:b/>
          <w:szCs w:val="24"/>
        </w:rPr>
        <w:t>«</w:t>
      </w:r>
      <w:r w:rsidR="00AE7EEB">
        <w:rPr>
          <w:b/>
          <w:szCs w:val="24"/>
        </w:rPr>
        <w:t xml:space="preserve">Минимизация рисков при осуществлении </w:t>
      </w:r>
    </w:p>
    <w:p w:rsidR="001007FA" w:rsidRDefault="00AE7EEB" w:rsidP="00303F63">
      <w:pPr>
        <w:spacing w:after="0" w:line="240" w:lineRule="auto"/>
        <w:ind w:left="-709" w:right="0" w:firstLine="0"/>
        <w:jc w:val="center"/>
        <w:rPr>
          <w:b/>
          <w:szCs w:val="24"/>
        </w:rPr>
      </w:pPr>
      <w:r>
        <w:rPr>
          <w:b/>
          <w:szCs w:val="24"/>
        </w:rPr>
        <w:t>экспортной деятельности</w:t>
      </w:r>
      <w:r w:rsidR="0007014D" w:rsidRPr="0007014D">
        <w:rPr>
          <w:b/>
          <w:szCs w:val="24"/>
        </w:rPr>
        <w:t>»</w:t>
      </w:r>
    </w:p>
    <w:p w:rsidR="00B21B5B" w:rsidRPr="003A6D5F" w:rsidRDefault="00B21B5B" w:rsidP="00B21B5B">
      <w:pPr>
        <w:spacing w:after="0" w:line="240" w:lineRule="auto"/>
        <w:ind w:left="-709" w:right="-426" w:firstLine="0"/>
        <w:jc w:val="center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2"/>
      </w:tblGrid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372" w:type="dxa"/>
          </w:tcPr>
          <w:p w:rsidR="001007FA" w:rsidRPr="003A6D5F" w:rsidRDefault="0080470E" w:rsidP="00AE7EEB">
            <w:pPr>
              <w:spacing w:after="0" w:line="240" w:lineRule="auto"/>
              <w:ind w:left="-709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AE7EEB">
              <w:rPr>
                <w:szCs w:val="24"/>
              </w:rPr>
              <w:t>круглого года</w:t>
            </w:r>
            <w:r w:rsidR="00B21B5B" w:rsidRPr="00B21B5B">
              <w:rPr>
                <w:szCs w:val="24"/>
              </w:rPr>
              <w:t xml:space="preserve"> на тему: </w:t>
            </w:r>
            <w:r w:rsidR="00630557" w:rsidRPr="00630557">
              <w:rPr>
                <w:szCs w:val="24"/>
              </w:rPr>
              <w:t>«</w:t>
            </w:r>
            <w:r w:rsidR="00AE7EEB" w:rsidRPr="00AE7EEB">
              <w:rPr>
                <w:szCs w:val="24"/>
              </w:rPr>
              <w:t>Минимизация рисков при осуществлении экспортной деятельности</w:t>
            </w:r>
            <w:r w:rsidR="00630557" w:rsidRPr="00630557">
              <w:rPr>
                <w:szCs w:val="24"/>
              </w:rPr>
              <w:t>»</w:t>
            </w:r>
          </w:p>
        </w:tc>
      </w:tr>
      <w:tr w:rsidR="005F2625" w:rsidRPr="003A6D5F" w:rsidTr="00303F63">
        <w:tc>
          <w:tcPr>
            <w:tcW w:w="2977" w:type="dxa"/>
          </w:tcPr>
          <w:p w:rsidR="005F2625" w:rsidRPr="003A6D5F" w:rsidRDefault="0080470E" w:rsidP="00303F63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303F63">
              <w:rPr>
                <w:szCs w:val="24"/>
              </w:rPr>
              <w:t xml:space="preserve"> и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место проведения</w:t>
            </w:r>
            <w:r w:rsidR="004930F1" w:rsidRPr="003A6D5F">
              <w:rPr>
                <w:szCs w:val="24"/>
              </w:rPr>
              <w:t xml:space="preserve"> </w:t>
            </w:r>
            <w:r w:rsidR="00B21B5B">
              <w:rPr>
                <w:szCs w:val="24"/>
              </w:rPr>
              <w:t>мастер-класса</w:t>
            </w:r>
          </w:p>
        </w:tc>
        <w:tc>
          <w:tcPr>
            <w:tcW w:w="7372" w:type="dxa"/>
          </w:tcPr>
          <w:p w:rsidR="005F2625" w:rsidRPr="003A6D5F" w:rsidRDefault="00AE7EEB" w:rsidP="00B21B5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0470E" w:rsidRPr="003A6D5F">
              <w:rPr>
                <w:szCs w:val="24"/>
              </w:rPr>
              <w:t>.0</w:t>
            </w:r>
            <w:r w:rsidR="00630557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.202</w:t>
            </w:r>
            <w:r w:rsidR="00630557">
              <w:rPr>
                <w:szCs w:val="24"/>
              </w:rPr>
              <w:t>2</w:t>
            </w:r>
            <w:r w:rsidR="00303F63">
              <w:rPr>
                <w:szCs w:val="24"/>
              </w:rPr>
              <w:t>,</w:t>
            </w:r>
            <w:r w:rsidR="0080470E" w:rsidRPr="003A6D5F">
              <w:rPr>
                <w:szCs w:val="24"/>
              </w:rPr>
              <w:t xml:space="preserve"> </w:t>
            </w:r>
            <w:r w:rsidR="004753A5" w:rsidRPr="003A6D5F">
              <w:rPr>
                <w:szCs w:val="24"/>
              </w:rPr>
              <w:t xml:space="preserve">г. Астрахань </w:t>
            </w:r>
          </w:p>
          <w:p w:rsidR="003A6D5F" w:rsidRPr="003A6D5F" w:rsidRDefault="003A6D5F" w:rsidP="00303F63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303F63" w:rsidRPr="003A6D5F" w:rsidTr="00303F63">
        <w:tc>
          <w:tcPr>
            <w:tcW w:w="2977" w:type="dxa"/>
          </w:tcPr>
          <w:p w:rsidR="00303F63" w:rsidRPr="003A6D5F" w:rsidRDefault="00303F63" w:rsidP="00B21B5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</w:t>
            </w:r>
            <w:r>
              <w:rPr>
                <w:szCs w:val="24"/>
              </w:rPr>
              <w:t xml:space="preserve"> мастер-класса </w:t>
            </w:r>
          </w:p>
        </w:tc>
        <w:tc>
          <w:tcPr>
            <w:tcW w:w="7372" w:type="dxa"/>
          </w:tcPr>
          <w:p w:rsidR="00303F63" w:rsidRDefault="00303F63" w:rsidP="008365D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8365DB">
              <w:rPr>
                <w:szCs w:val="24"/>
              </w:rPr>
              <w:t>2</w:t>
            </w:r>
            <w:r w:rsidRPr="003A6D5F">
              <w:rPr>
                <w:szCs w:val="24"/>
              </w:rPr>
              <w:t xml:space="preserve"> час</w:t>
            </w:r>
            <w:r>
              <w:rPr>
                <w:szCs w:val="24"/>
              </w:rPr>
              <w:t>ов</w:t>
            </w:r>
          </w:p>
        </w:tc>
      </w:tr>
      <w:tr w:rsidR="00530EF3" w:rsidRPr="003A6D5F" w:rsidTr="00303F63">
        <w:trPr>
          <w:trHeight w:val="2809"/>
        </w:trPr>
        <w:tc>
          <w:tcPr>
            <w:tcW w:w="2977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372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046F25" w:rsidRPr="003A6D5F" w:rsidRDefault="00CB10BE" w:rsidP="0007014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информация об опыте проведения информационно-консультационных или обучающих мероприятий (</w:t>
            </w:r>
            <w:r w:rsidR="00B21B5B">
              <w:rPr>
                <w:szCs w:val="24"/>
              </w:rPr>
              <w:t xml:space="preserve">мастер-классы, </w:t>
            </w:r>
            <w:r w:rsidRPr="003A6D5F">
              <w:rPr>
                <w:szCs w:val="24"/>
              </w:rPr>
              <w:t xml:space="preserve">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372" w:type="dxa"/>
          </w:tcPr>
          <w:p w:rsidR="00BA0951" w:rsidRPr="003A6D5F" w:rsidRDefault="00BA0951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Не менее 1</w:t>
            </w:r>
            <w:r w:rsidR="00630557">
              <w:rPr>
                <w:szCs w:val="24"/>
              </w:rPr>
              <w:t>0</w:t>
            </w:r>
            <w:r w:rsidRPr="003A6D5F">
              <w:rPr>
                <w:szCs w:val="24"/>
              </w:rPr>
              <w:t xml:space="preserve">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372" w:type="dxa"/>
          </w:tcPr>
          <w:p w:rsidR="00303F63" w:rsidRDefault="00CF1CE3" w:rsidP="00784A1A">
            <w:r w:rsidRPr="00AE7EEB">
              <w:t xml:space="preserve">Программа </w:t>
            </w:r>
            <w:r w:rsidR="00AE7EEB" w:rsidRPr="00AE7EEB">
              <w:t>круглого стола</w:t>
            </w:r>
            <w:r w:rsidRPr="00AE7EEB">
              <w:t xml:space="preserve"> должна </w:t>
            </w:r>
            <w:r w:rsidR="00784A1A">
              <w:t>включать в себя следующие тематические блоки:</w:t>
            </w:r>
          </w:p>
          <w:p w:rsidR="00784A1A" w:rsidRDefault="00784A1A" w:rsidP="00784A1A">
            <w:pPr>
              <w:ind w:left="0" w:firstLine="0"/>
            </w:pPr>
            <w:r>
              <w:t>- факторы возникновения внешнеторговых рисков</w:t>
            </w:r>
            <w:bookmarkStart w:id="0" w:name="_GoBack"/>
            <w:bookmarkEnd w:id="0"/>
          </w:p>
          <w:p w:rsidR="00784A1A" w:rsidRDefault="00784A1A" w:rsidP="00784A1A">
            <w:pPr>
              <w:ind w:left="0" w:firstLine="0"/>
            </w:pPr>
            <w:r>
              <w:t>- основные виды внешнеторговых рисков</w:t>
            </w:r>
          </w:p>
          <w:p w:rsidR="00784A1A" w:rsidRDefault="00784A1A" w:rsidP="00784A1A">
            <w:pPr>
              <w:ind w:left="0" w:firstLine="0"/>
            </w:pPr>
            <w:r>
              <w:t>- управление внешнеторговыми рисками</w:t>
            </w:r>
          </w:p>
          <w:p w:rsidR="00784A1A" w:rsidRDefault="00784A1A" w:rsidP="00784A1A">
            <w:pPr>
              <w:ind w:left="0" w:firstLine="0"/>
            </w:pPr>
            <w:r>
              <w:t>- методы снижения внешнеторговых рисков</w:t>
            </w:r>
          </w:p>
          <w:p w:rsidR="00784A1A" w:rsidRPr="00AE7EEB" w:rsidRDefault="00784A1A" w:rsidP="00784A1A">
            <w:pPr>
              <w:ind w:left="0" w:firstLine="0"/>
            </w:pPr>
            <w:r>
              <w:t>- рекомендации по управлению рисками для экспортеров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372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информационно-консультационных или обучающих мероприятий (</w:t>
            </w:r>
            <w:r w:rsidR="00145511">
              <w:rPr>
                <w:szCs w:val="24"/>
              </w:rPr>
              <w:t xml:space="preserve">мастер-классы, </w:t>
            </w:r>
            <w:r w:rsidR="008757C1" w:rsidRPr="003A6D5F">
              <w:rPr>
                <w:szCs w:val="24"/>
              </w:rPr>
              <w:t xml:space="preserve">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</w:t>
            </w:r>
            <w:r w:rsidR="00284951" w:rsidRPr="00284951">
              <w:rPr>
                <w:szCs w:val="24"/>
              </w:rPr>
              <w:t>/</w:t>
            </w:r>
            <w:r w:rsidR="00284951">
              <w:rPr>
                <w:szCs w:val="24"/>
              </w:rPr>
              <w:t>индивидуальный предприниматель не должны</w:t>
            </w:r>
            <w:r w:rsidR="008757C1" w:rsidRPr="003A6D5F">
              <w:rPr>
                <w:szCs w:val="24"/>
              </w:rPr>
              <w:t xml:space="preserve"> находится в процессе ликвидации, банкротства, </w:t>
            </w:r>
            <w:r w:rsidR="00284951">
              <w:rPr>
                <w:szCs w:val="24"/>
              </w:rPr>
              <w:t>и</w:t>
            </w:r>
            <w:r w:rsidR="008757C1" w:rsidRPr="003A6D5F">
              <w:rPr>
                <w:szCs w:val="24"/>
              </w:rPr>
              <w:t xml:space="preserve">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284951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>Отсутствуют сведения о юридическом лице</w:t>
            </w:r>
            <w:r w:rsidR="00284951">
              <w:rPr>
                <w:szCs w:val="24"/>
              </w:rPr>
              <w:t>/</w:t>
            </w:r>
            <w:r w:rsidR="008757C1" w:rsidRPr="003A6D5F">
              <w:rPr>
                <w:szCs w:val="24"/>
              </w:rPr>
              <w:t xml:space="preserve">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552413" w:rsidRPr="003A6D5F" w:rsidTr="00303F63">
        <w:tc>
          <w:tcPr>
            <w:tcW w:w="2977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372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3A6D5F" w:rsidRDefault="002D696B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303F63">
        <w:trPr>
          <w:trHeight w:val="733"/>
        </w:trPr>
        <w:tc>
          <w:tcPr>
            <w:tcW w:w="2977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372" w:type="dxa"/>
          </w:tcPr>
          <w:p w:rsidR="00670AA5" w:rsidRPr="003A6D5F" w:rsidRDefault="00670AA5" w:rsidP="00913D5E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913D5E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sectPr w:rsidR="0007014D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87"/>
    <w:multiLevelType w:val="hybridMultilevel"/>
    <w:tmpl w:val="C43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E1413D"/>
    <w:multiLevelType w:val="hybridMultilevel"/>
    <w:tmpl w:val="E7C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4737DD9"/>
    <w:multiLevelType w:val="hybridMultilevel"/>
    <w:tmpl w:val="654A27A2"/>
    <w:lvl w:ilvl="0" w:tplc="B0CAE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4965"/>
    <w:multiLevelType w:val="hybridMultilevel"/>
    <w:tmpl w:val="D9680D2E"/>
    <w:lvl w:ilvl="0" w:tplc="72B05A34">
      <w:start w:val="1"/>
      <w:numFmt w:val="decimal"/>
      <w:lvlText w:val="%1."/>
      <w:lvlJc w:val="left"/>
      <w:pPr>
        <w:ind w:left="5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7014D"/>
    <w:rsid w:val="000D7FAF"/>
    <w:rsid w:val="001007FA"/>
    <w:rsid w:val="00145511"/>
    <w:rsid w:val="00153345"/>
    <w:rsid w:val="0018392A"/>
    <w:rsid w:val="0018701A"/>
    <w:rsid w:val="001B2EAD"/>
    <w:rsid w:val="0022639A"/>
    <w:rsid w:val="00226A71"/>
    <w:rsid w:val="00242F88"/>
    <w:rsid w:val="002553A8"/>
    <w:rsid w:val="00284951"/>
    <w:rsid w:val="00296EBA"/>
    <w:rsid w:val="002A319D"/>
    <w:rsid w:val="002D696B"/>
    <w:rsid w:val="00303F63"/>
    <w:rsid w:val="00381556"/>
    <w:rsid w:val="00386137"/>
    <w:rsid w:val="003A26BD"/>
    <w:rsid w:val="003A6D5F"/>
    <w:rsid w:val="003F08B2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30557"/>
    <w:rsid w:val="006420B4"/>
    <w:rsid w:val="00670AA5"/>
    <w:rsid w:val="00724DFA"/>
    <w:rsid w:val="00784A1A"/>
    <w:rsid w:val="007977BE"/>
    <w:rsid w:val="0080470E"/>
    <w:rsid w:val="00806D46"/>
    <w:rsid w:val="008365DB"/>
    <w:rsid w:val="008757C1"/>
    <w:rsid w:val="00876E8C"/>
    <w:rsid w:val="00897C6B"/>
    <w:rsid w:val="008C0DDA"/>
    <w:rsid w:val="008E3A29"/>
    <w:rsid w:val="00913D5E"/>
    <w:rsid w:val="00997BAF"/>
    <w:rsid w:val="00A34366"/>
    <w:rsid w:val="00AC1244"/>
    <w:rsid w:val="00AC5C03"/>
    <w:rsid w:val="00AE7EEB"/>
    <w:rsid w:val="00AF01E3"/>
    <w:rsid w:val="00B21B5B"/>
    <w:rsid w:val="00B40F8F"/>
    <w:rsid w:val="00B84658"/>
    <w:rsid w:val="00B879E3"/>
    <w:rsid w:val="00BA0951"/>
    <w:rsid w:val="00BA4641"/>
    <w:rsid w:val="00BD27FF"/>
    <w:rsid w:val="00CB10BE"/>
    <w:rsid w:val="00CC5F8B"/>
    <w:rsid w:val="00CE6752"/>
    <w:rsid w:val="00CF1CE3"/>
    <w:rsid w:val="00D045E3"/>
    <w:rsid w:val="00D04BE1"/>
    <w:rsid w:val="00D4019B"/>
    <w:rsid w:val="00D51794"/>
    <w:rsid w:val="00DA322D"/>
    <w:rsid w:val="00DD677B"/>
    <w:rsid w:val="00DD6EDF"/>
    <w:rsid w:val="00E20499"/>
    <w:rsid w:val="00E4636A"/>
    <w:rsid w:val="00E840CF"/>
    <w:rsid w:val="00E871CB"/>
    <w:rsid w:val="00E954B4"/>
    <w:rsid w:val="00EF1D83"/>
    <w:rsid w:val="00F569CC"/>
    <w:rsid w:val="00F81E53"/>
    <w:rsid w:val="00F93B99"/>
    <w:rsid w:val="00FA2F35"/>
    <w:rsid w:val="00FB068B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B6B1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  <w:style w:type="character" w:customStyle="1" w:styleId="hl">
    <w:name w:val="hl"/>
    <w:basedOn w:val="a0"/>
    <w:rsid w:val="00AE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4</cp:revision>
  <cp:lastPrinted>2021-05-25T07:22:00Z</cp:lastPrinted>
  <dcterms:created xsi:type="dcterms:W3CDTF">2022-03-25T05:14:00Z</dcterms:created>
  <dcterms:modified xsi:type="dcterms:W3CDTF">2022-03-25T05:34:00Z</dcterms:modified>
</cp:coreProperties>
</file>